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5274A0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5274A0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5274A0">
        <w:rPr>
          <w:rFonts w:ascii="TH SarabunIT๙" w:hAnsi="TH SarabunIT๙" w:cs="TH SarabunIT๙" w:hint="cs"/>
          <w:sz w:val="32"/>
          <w:szCs w:val="32"/>
          <w:cs/>
        </w:rPr>
        <w:t xml:space="preserve">สอ.กมลาไสย 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 w:rsidR="005274A0">
        <w:rPr>
          <w:rFonts w:ascii="TH SarabunIT๙" w:hAnsi="TH SarabunIT๙" w:cs="TH SarabunIT๙" w:hint="cs"/>
          <w:sz w:val="32"/>
          <w:szCs w:val="32"/>
          <w:cs/>
        </w:rPr>
        <w:t xml:space="preserve">  กมลาไสย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5274A0">
        <w:rPr>
          <w:rFonts w:ascii="TH SarabunIT๙" w:hAnsi="TH SarabunIT๙" w:cs="TH SarabunIT๙"/>
          <w:sz w:val="32"/>
          <w:szCs w:val="32"/>
        </w:rPr>
        <w:t xml:space="preserve">  </w:t>
      </w:r>
      <w:r w:rsidR="005274A0">
        <w:rPr>
          <w:rFonts w:ascii="TH SarabunIT๙" w:hAnsi="TH SarabunIT๙" w:cs="TH SarabunIT๙" w:hint="cs"/>
          <w:sz w:val="32"/>
          <w:szCs w:val="32"/>
          <w:cs/>
        </w:rPr>
        <w:t xml:space="preserve">ทีมประเมินเป้าประสงค์ที่ ๓ 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วันเดือนปีที่ประเมิน</w:t>
      </w:r>
      <w:r w:rsidR="005274A0">
        <w:rPr>
          <w:rFonts w:ascii="TH SarabunIT๙" w:hAnsi="TH SarabunIT๙" w:cs="TH SarabunIT๙" w:hint="cs"/>
          <w:sz w:val="32"/>
          <w:szCs w:val="32"/>
          <w:cs/>
        </w:rPr>
        <w:t xml:space="preserve">   ๑๐ สิงหาคม ๒๕๖๐</w:t>
      </w:r>
    </w:p>
    <w:p w:rsidR="009E7F50" w:rsidRPr="003E2B90" w:rsidRDefault="00F07463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3D6426">
        <w:tc>
          <w:tcPr>
            <w:tcW w:w="4503" w:type="dxa"/>
            <w:shd w:val="clear" w:color="auto" w:fill="auto"/>
          </w:tcPr>
          <w:p w:rsidR="00841FF4" w:rsidRPr="00325464" w:rsidRDefault="00841FF4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841FF4" w:rsidRPr="00325464" w:rsidRDefault="00841FF4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41FF4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841FF4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841FF4" w:rsidRPr="00325464" w:rsidRDefault="00841FF4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FF4" w:rsidRPr="00325464" w:rsidRDefault="00841FF4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5274A0" w:rsidP="00B52033">
            <w:pPr>
              <w:pStyle w:val="a3"/>
              <w:jc w:val="center"/>
              <w:rPr>
                <w:rFonts w:ascii="TH SarabunIT๙" w:eastAsiaTheme="minorHAnsi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FF4" w:rsidRPr="00325464" w:rsidRDefault="00841FF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5274A0" w:rsidP="00841FF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FF4" w:rsidRPr="00325464" w:rsidTr="009B23DD">
        <w:tc>
          <w:tcPr>
            <w:tcW w:w="4361" w:type="dxa"/>
            <w:shd w:val="clear" w:color="auto" w:fill="auto"/>
          </w:tcPr>
          <w:p w:rsidR="00841FF4" w:rsidRPr="00325464" w:rsidRDefault="00841FF4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841FF4" w:rsidRPr="00325464" w:rsidRDefault="00841FF4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841FF4" w:rsidRPr="00325464" w:rsidRDefault="00841FF4" w:rsidP="00B520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41FF4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841FF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841FF4" w:rsidP="00841FF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bookmarkStart w:id="0" w:name="_GoBack" w:colFirst="3" w:colLast="3"/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5274A0" w:rsidRDefault="005274A0" w:rsidP="00841FF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5274A0" w:rsidRDefault="00841FF4" w:rsidP="00841FF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74A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bookmarkEnd w:id="0"/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B2637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B26375" w:rsidP="005274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275" w:type="dxa"/>
          </w:tcPr>
          <w:p w:rsidR="00823D6A" w:rsidRPr="00325464" w:rsidRDefault="00B26375" w:rsidP="005274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2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BD6709" w:rsidRDefault="00BD6709" w:rsidP="000D1FA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40-49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50-54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55-59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B26375" w:rsidRPr="00B26375">
        <w:rPr>
          <w:rFonts w:ascii="TH SarabunIT๙" w:hAnsi="TH SarabunIT๙" w:cs="TH SarabunIT๙"/>
          <w:sz w:val="32"/>
          <w:szCs w:val="32"/>
        </w:rPr>
        <w:t xml:space="preserve"> </w:t>
      </w:r>
      <w:r w:rsidR="00B26375">
        <w:rPr>
          <w:rFonts w:ascii="TH SarabunIT๙" w:hAnsi="TH SarabunIT๙" w:cs="TH SarabunIT๙"/>
          <w:sz w:val="32"/>
          <w:szCs w:val="32"/>
        </w:rPr>
        <w:t>91.66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B2637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A60A8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B3A59" w:rsidRPr="007F11F8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Pr="007F11F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Pr="007F11F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ผลงานที่ได้ร้อยละ........</w:t>
      </w:r>
      <w:r w:rsidR="005274A0">
        <w:rPr>
          <w:rFonts w:ascii="TH SarabunIT๙" w:hAnsi="TH SarabunIT๙" w:cs="TH SarabunIT๙" w:hint="cs"/>
          <w:b/>
          <w:bCs/>
          <w:sz w:val="32"/>
          <w:szCs w:val="32"/>
          <w:cs/>
        </w:rPr>
        <w:t>๙๓.๓๓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5274A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8162C9" w:rsidRDefault="008162C9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>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นิศราวร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รณ  รักโคตร   หัวหน้ากลุ่มงานทรัพยากรบุคคล  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D1FAF" w:rsidRPr="0032546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63" w:rsidRDefault="00F07463" w:rsidP="00E90165">
      <w:pPr>
        <w:spacing w:after="0" w:line="240" w:lineRule="auto"/>
      </w:pPr>
      <w:r>
        <w:separator/>
      </w:r>
    </w:p>
  </w:endnote>
  <w:endnote w:type="continuationSeparator" w:id="0">
    <w:p w:rsidR="00F07463" w:rsidRDefault="00F07463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63" w:rsidRDefault="00F07463" w:rsidP="00E90165">
      <w:pPr>
        <w:spacing w:after="0" w:line="240" w:lineRule="auto"/>
      </w:pPr>
      <w:r>
        <w:separator/>
      </w:r>
    </w:p>
  </w:footnote>
  <w:footnote w:type="continuationSeparator" w:id="0">
    <w:p w:rsidR="00F07463" w:rsidRDefault="00F07463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21427B"/>
    <w:rsid w:val="002767F1"/>
    <w:rsid w:val="00292611"/>
    <w:rsid w:val="002B01D2"/>
    <w:rsid w:val="002E6544"/>
    <w:rsid w:val="00325464"/>
    <w:rsid w:val="003255B7"/>
    <w:rsid w:val="00376EF7"/>
    <w:rsid w:val="003B6F9C"/>
    <w:rsid w:val="003C0023"/>
    <w:rsid w:val="003D6426"/>
    <w:rsid w:val="004B1DD0"/>
    <w:rsid w:val="004F4FE1"/>
    <w:rsid w:val="004F5C93"/>
    <w:rsid w:val="005274A0"/>
    <w:rsid w:val="005437F0"/>
    <w:rsid w:val="00575A4D"/>
    <w:rsid w:val="005A5571"/>
    <w:rsid w:val="005D725B"/>
    <w:rsid w:val="005E52A3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E2F5F"/>
    <w:rsid w:val="007F2D4A"/>
    <w:rsid w:val="008162C9"/>
    <w:rsid w:val="00823D6A"/>
    <w:rsid w:val="00841FF4"/>
    <w:rsid w:val="008C0BE4"/>
    <w:rsid w:val="008F0C1A"/>
    <w:rsid w:val="008F1DFF"/>
    <w:rsid w:val="00901907"/>
    <w:rsid w:val="00992BBC"/>
    <w:rsid w:val="009B23DD"/>
    <w:rsid w:val="009B2A84"/>
    <w:rsid w:val="009E7F50"/>
    <w:rsid w:val="00A00796"/>
    <w:rsid w:val="00AB6D4A"/>
    <w:rsid w:val="00B26375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F07463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Win 8 Pro</cp:lastModifiedBy>
  <cp:revision>38</cp:revision>
  <cp:lastPrinted>2017-01-24T08:45:00Z</cp:lastPrinted>
  <dcterms:created xsi:type="dcterms:W3CDTF">2017-01-24T08:46:00Z</dcterms:created>
  <dcterms:modified xsi:type="dcterms:W3CDTF">2017-08-14T08:17:00Z</dcterms:modified>
</cp:coreProperties>
</file>