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0D54" w:rsidRPr="00B94D43" w:rsidRDefault="00C50D54" w:rsidP="00B94D43">
      <w:pPr>
        <w:pStyle w:val="a4"/>
        <w:suppressLineNumbers/>
        <w:spacing w:line="360" w:lineRule="auto"/>
        <w:jc w:val="center"/>
        <w:rPr>
          <w:rFonts w:ascii="Arial" w:hAnsi="Arial" w:cs="Arial"/>
          <w:b/>
          <w:bCs/>
          <w:sz w:val="28"/>
        </w:rPr>
      </w:pPr>
      <w:r w:rsidRPr="00B94D43">
        <w:rPr>
          <w:rFonts w:ascii="Arial" w:hAnsi="Arial" w:cs="Arial"/>
          <w:b/>
          <w:bCs/>
          <w:sz w:val="28"/>
          <w:szCs w:val="36"/>
        </w:rPr>
        <w:t xml:space="preserve">Effects of oral health literacy program on promoting oral health behaviors and oral health status among Thai adults </w:t>
      </w:r>
      <w:r w:rsidR="00B94D43">
        <w:rPr>
          <w:rFonts w:ascii="Arial" w:hAnsi="Arial" w:cs="Arial"/>
          <w:b/>
          <w:bCs/>
          <w:sz w:val="28"/>
          <w:szCs w:val="36"/>
        </w:rPr>
        <w:t xml:space="preserve">                                </w:t>
      </w:r>
      <w:r w:rsidRPr="00B94D43">
        <w:rPr>
          <w:rFonts w:ascii="Arial" w:hAnsi="Arial" w:cs="Arial"/>
          <w:b/>
          <w:bCs/>
          <w:sz w:val="28"/>
          <w:szCs w:val="36"/>
        </w:rPr>
        <w:t>with type 2 diabetes mellitus</w:t>
      </w:r>
      <w:r w:rsidR="00A100B9" w:rsidRPr="00B94D43">
        <w:rPr>
          <w:rFonts w:ascii="Arial" w:hAnsi="Arial" w:cs="Arial"/>
          <w:b/>
          <w:bCs/>
          <w:sz w:val="28"/>
        </w:rPr>
        <w:t>.</w:t>
      </w:r>
    </w:p>
    <w:p w:rsidR="00B94D43" w:rsidRPr="00B94D43" w:rsidRDefault="00C50D54" w:rsidP="00C50D54">
      <w:pPr>
        <w:suppressLineNumbers/>
        <w:spacing w:after="0" w:line="360" w:lineRule="auto"/>
        <w:jc w:val="both"/>
        <w:rPr>
          <w:rFonts w:ascii="Arial" w:hAnsi="Arial" w:cs="Arial"/>
          <w:i/>
          <w:iCs/>
          <w:sz w:val="16"/>
          <w:szCs w:val="16"/>
        </w:rPr>
      </w:pPr>
      <w:proofErr w:type="spellStart"/>
      <w:r w:rsidRPr="00B94D43">
        <w:rPr>
          <w:rFonts w:ascii="Arial" w:hAnsi="Arial" w:cs="Arial"/>
          <w:i/>
          <w:iCs/>
          <w:sz w:val="16"/>
          <w:szCs w:val="16"/>
        </w:rPr>
        <w:t>Supasin</w:t>
      </w:r>
      <w:proofErr w:type="spellEnd"/>
      <w:r w:rsidRPr="00B94D43">
        <w:rPr>
          <w:rFonts w:ascii="Arial" w:hAnsi="Arial" w:cs="Arial"/>
          <w:i/>
          <w:iCs/>
          <w:sz w:val="16"/>
          <w:szCs w:val="16"/>
        </w:rPr>
        <w:t xml:space="preserve"> Deeraksa</w:t>
      </w:r>
      <w:r w:rsidRPr="00B94D43">
        <w:rPr>
          <w:rFonts w:ascii="Arial" w:hAnsi="Arial" w:cs="Arial"/>
          <w:i/>
          <w:iCs/>
          <w:sz w:val="16"/>
          <w:szCs w:val="16"/>
          <w:vertAlign w:val="superscript"/>
        </w:rPr>
        <w:t>1</w:t>
      </w:r>
      <w:proofErr w:type="gramStart"/>
      <w:r w:rsidRPr="00B94D43">
        <w:rPr>
          <w:rFonts w:ascii="Arial" w:hAnsi="Arial" w:cs="Arial"/>
          <w:i/>
          <w:iCs/>
          <w:sz w:val="16"/>
          <w:szCs w:val="16"/>
          <w:vertAlign w:val="superscript"/>
        </w:rPr>
        <w:t>,2,5</w:t>
      </w:r>
      <w:proofErr w:type="gramEnd"/>
      <w:r w:rsidRPr="00B94D43">
        <w:rPr>
          <w:rFonts w:ascii="Arial" w:hAnsi="Arial" w:cs="Arial"/>
          <w:i/>
          <w:iCs/>
          <w:sz w:val="16"/>
          <w:szCs w:val="16"/>
        </w:rPr>
        <w:t>,</w:t>
      </w:r>
      <w:r w:rsidR="00A100B9" w:rsidRPr="00B94D43">
        <w:rPr>
          <w:rFonts w:ascii="Arial" w:hAnsi="Arial" w:cs="Arial"/>
          <w:i/>
          <w:iCs/>
          <w:sz w:val="16"/>
          <w:szCs w:val="16"/>
        </w:rPr>
        <w:t xml:space="preserve"> </w:t>
      </w:r>
      <w:proofErr w:type="spellStart"/>
      <w:r w:rsidRPr="00B94D43">
        <w:rPr>
          <w:rFonts w:ascii="Arial" w:hAnsi="Arial" w:cs="Arial"/>
          <w:i/>
          <w:iCs/>
          <w:sz w:val="16"/>
          <w:szCs w:val="16"/>
        </w:rPr>
        <w:t>Wipada</w:t>
      </w:r>
      <w:proofErr w:type="spellEnd"/>
      <w:r w:rsidRPr="00B94D43">
        <w:rPr>
          <w:rFonts w:ascii="Arial" w:hAnsi="Arial" w:cs="Arial"/>
          <w:i/>
          <w:iCs/>
          <w:sz w:val="16"/>
          <w:szCs w:val="16"/>
        </w:rPr>
        <w:t xml:space="preserve"> Jitpreeda</w:t>
      </w:r>
      <w:r w:rsidRPr="00B94D43">
        <w:rPr>
          <w:rFonts w:ascii="Arial" w:hAnsi="Arial" w:cs="Arial"/>
          <w:i/>
          <w:iCs/>
          <w:sz w:val="16"/>
          <w:szCs w:val="16"/>
          <w:vertAlign w:val="superscript"/>
        </w:rPr>
        <w:t>2</w:t>
      </w:r>
      <w:r w:rsidRPr="00B94D43">
        <w:rPr>
          <w:rFonts w:ascii="Arial" w:hAnsi="Arial" w:cs="Arial"/>
          <w:i/>
          <w:iCs/>
          <w:sz w:val="16"/>
          <w:szCs w:val="16"/>
        </w:rPr>
        <w:t>,</w:t>
      </w:r>
      <w:r w:rsidR="00A100B9" w:rsidRPr="00B94D43">
        <w:rPr>
          <w:rFonts w:ascii="Arial" w:hAnsi="Arial" w:cs="Arial"/>
          <w:i/>
          <w:iCs/>
          <w:sz w:val="16"/>
          <w:szCs w:val="16"/>
        </w:rPr>
        <w:t xml:space="preserve"> </w:t>
      </w:r>
      <w:proofErr w:type="spellStart"/>
      <w:r w:rsidRPr="00B94D43">
        <w:rPr>
          <w:rFonts w:ascii="Arial" w:hAnsi="Arial" w:cs="Arial"/>
          <w:i/>
          <w:iCs/>
          <w:sz w:val="16"/>
          <w:szCs w:val="16"/>
        </w:rPr>
        <w:t>Suwit</w:t>
      </w:r>
      <w:proofErr w:type="spellEnd"/>
      <w:r w:rsidRPr="00B94D43">
        <w:rPr>
          <w:rFonts w:ascii="Arial" w:hAnsi="Arial" w:cs="Arial"/>
          <w:i/>
          <w:iCs/>
          <w:sz w:val="16"/>
          <w:szCs w:val="16"/>
        </w:rPr>
        <w:t xml:space="preserve"> Udompanich</w:t>
      </w:r>
      <w:r w:rsidRPr="00B94D43">
        <w:rPr>
          <w:rFonts w:ascii="Arial" w:hAnsi="Arial" w:cs="Arial"/>
          <w:i/>
          <w:iCs/>
          <w:sz w:val="16"/>
          <w:szCs w:val="16"/>
          <w:vertAlign w:val="superscript"/>
        </w:rPr>
        <w:t>3</w:t>
      </w:r>
      <w:r w:rsidRPr="00B94D43">
        <w:rPr>
          <w:rFonts w:ascii="Arial" w:hAnsi="Arial" w:cs="Arial"/>
          <w:i/>
          <w:iCs/>
          <w:sz w:val="16"/>
          <w:szCs w:val="16"/>
        </w:rPr>
        <w:t>,Benja Muktabhant</w:t>
      </w:r>
      <w:r w:rsidRPr="00B94D43">
        <w:rPr>
          <w:rFonts w:ascii="Arial" w:hAnsi="Arial" w:cs="Arial"/>
          <w:i/>
          <w:iCs/>
          <w:sz w:val="16"/>
          <w:szCs w:val="16"/>
          <w:vertAlign w:val="superscript"/>
        </w:rPr>
        <w:t>3,5</w:t>
      </w:r>
      <w:r w:rsidRPr="00B94D43">
        <w:rPr>
          <w:rFonts w:ascii="Arial" w:hAnsi="Arial" w:cs="Arial"/>
          <w:i/>
          <w:iCs/>
          <w:sz w:val="16"/>
          <w:szCs w:val="16"/>
        </w:rPr>
        <w:t xml:space="preserve">, </w:t>
      </w:r>
      <w:proofErr w:type="spellStart"/>
      <w:r w:rsidRPr="00B94D43">
        <w:rPr>
          <w:rFonts w:ascii="Arial" w:hAnsi="Arial" w:cs="Arial"/>
          <w:i/>
          <w:iCs/>
          <w:sz w:val="16"/>
          <w:szCs w:val="16"/>
        </w:rPr>
        <w:t>Rajda</w:t>
      </w:r>
      <w:proofErr w:type="spellEnd"/>
      <w:r w:rsidR="00FC0075" w:rsidRPr="00B94D43">
        <w:rPr>
          <w:rFonts w:ascii="Arial" w:hAnsi="Arial" w:cs="Arial"/>
          <w:i/>
          <w:iCs/>
          <w:sz w:val="16"/>
          <w:szCs w:val="16"/>
        </w:rPr>
        <w:t xml:space="preserve"> </w:t>
      </w:r>
      <w:r w:rsidRPr="00B94D43">
        <w:rPr>
          <w:rFonts w:ascii="Arial" w:hAnsi="Arial" w:cs="Arial"/>
          <w:i/>
          <w:iCs/>
          <w:sz w:val="16"/>
          <w:szCs w:val="16"/>
        </w:rPr>
        <w:t>Chaichit</w:t>
      </w:r>
      <w:r w:rsidRPr="00B94D43">
        <w:rPr>
          <w:rFonts w:ascii="Arial" w:hAnsi="Arial" w:cs="Arial"/>
          <w:i/>
          <w:iCs/>
          <w:sz w:val="16"/>
          <w:szCs w:val="16"/>
          <w:vertAlign w:val="superscript"/>
        </w:rPr>
        <w:t>4,5</w:t>
      </w:r>
    </w:p>
    <w:p w:rsidR="00C50D54" w:rsidRPr="00B94D43" w:rsidRDefault="00C50D54" w:rsidP="00C50D54">
      <w:pPr>
        <w:suppressLineNumbers/>
        <w:spacing w:after="0" w:line="360" w:lineRule="auto"/>
        <w:jc w:val="both"/>
        <w:rPr>
          <w:rFonts w:ascii="Arial" w:hAnsi="Arial" w:cs="Arial"/>
          <w:i/>
          <w:iCs/>
          <w:sz w:val="14"/>
          <w:szCs w:val="14"/>
        </w:rPr>
      </w:pPr>
      <w:r w:rsidRPr="00B94D43">
        <w:rPr>
          <w:rFonts w:ascii="Arial" w:hAnsi="Arial" w:cs="Arial"/>
          <w:i/>
          <w:iCs/>
          <w:sz w:val="14"/>
          <w:szCs w:val="14"/>
          <w:vertAlign w:val="superscript"/>
        </w:rPr>
        <w:t>1</w:t>
      </w:r>
      <w:r w:rsidRPr="00B94D43">
        <w:rPr>
          <w:rFonts w:ascii="Arial" w:hAnsi="Arial" w:cs="Arial"/>
          <w:i/>
          <w:iCs/>
          <w:sz w:val="14"/>
          <w:szCs w:val="14"/>
        </w:rPr>
        <w:t xml:space="preserve">Doctor of Public Health program, Faculty of Public Health, </w:t>
      </w:r>
      <w:proofErr w:type="spellStart"/>
      <w:r w:rsidRPr="00B94D43">
        <w:rPr>
          <w:rFonts w:ascii="Arial" w:hAnsi="Arial" w:cs="Arial"/>
          <w:i/>
          <w:iCs/>
          <w:sz w:val="14"/>
          <w:szCs w:val="14"/>
        </w:rPr>
        <w:t>Khon</w:t>
      </w:r>
      <w:proofErr w:type="spellEnd"/>
      <w:r w:rsidR="00A100B9" w:rsidRPr="00B94D43">
        <w:rPr>
          <w:rFonts w:ascii="Arial" w:hAnsi="Arial" w:cs="Arial"/>
          <w:i/>
          <w:iCs/>
          <w:sz w:val="14"/>
          <w:szCs w:val="14"/>
        </w:rPr>
        <w:t xml:space="preserve"> </w:t>
      </w:r>
      <w:proofErr w:type="spellStart"/>
      <w:r w:rsidRPr="00B94D43">
        <w:rPr>
          <w:rFonts w:ascii="Arial" w:hAnsi="Arial" w:cs="Arial"/>
          <w:i/>
          <w:iCs/>
          <w:sz w:val="14"/>
          <w:szCs w:val="14"/>
        </w:rPr>
        <w:t>Kaen</w:t>
      </w:r>
      <w:proofErr w:type="spellEnd"/>
      <w:r w:rsidRPr="00B94D43">
        <w:rPr>
          <w:rFonts w:ascii="Arial" w:hAnsi="Arial" w:cs="Arial"/>
          <w:i/>
          <w:iCs/>
          <w:sz w:val="14"/>
          <w:szCs w:val="14"/>
        </w:rPr>
        <w:t xml:space="preserve"> University, Thailand.</w:t>
      </w:r>
      <w:r w:rsidR="00A100B9" w:rsidRPr="00B94D43">
        <w:rPr>
          <w:rFonts w:ascii="Arial" w:hAnsi="Arial" w:cs="Arial"/>
          <w:i/>
          <w:iCs/>
          <w:sz w:val="14"/>
          <w:szCs w:val="14"/>
        </w:rPr>
        <w:t xml:space="preserve"> </w:t>
      </w:r>
      <w:r w:rsidRPr="00B94D43">
        <w:rPr>
          <w:rFonts w:ascii="Arial" w:hAnsi="Arial" w:cs="Arial"/>
          <w:i/>
          <w:iCs/>
          <w:sz w:val="14"/>
          <w:szCs w:val="14"/>
          <w:vertAlign w:val="superscript"/>
        </w:rPr>
        <w:t>2</w:t>
      </w:r>
      <w:r w:rsidRPr="00B94D43">
        <w:rPr>
          <w:rFonts w:ascii="Arial" w:hAnsi="Arial" w:cs="Arial"/>
          <w:i/>
          <w:iCs/>
          <w:sz w:val="14"/>
          <w:szCs w:val="14"/>
        </w:rPr>
        <w:t xml:space="preserve">Department of Dental Public Health, </w:t>
      </w:r>
      <w:proofErr w:type="spellStart"/>
      <w:r w:rsidRPr="00B94D43">
        <w:rPr>
          <w:rFonts w:ascii="Arial" w:hAnsi="Arial" w:cs="Arial"/>
          <w:i/>
          <w:iCs/>
          <w:sz w:val="14"/>
          <w:szCs w:val="14"/>
        </w:rPr>
        <w:t>Thakhuntho</w:t>
      </w:r>
      <w:proofErr w:type="spellEnd"/>
      <w:r w:rsidRPr="00B94D43">
        <w:rPr>
          <w:rFonts w:ascii="Arial" w:hAnsi="Arial" w:cs="Arial"/>
          <w:i/>
          <w:iCs/>
          <w:sz w:val="14"/>
          <w:szCs w:val="14"/>
        </w:rPr>
        <w:t xml:space="preserve"> Hospital, </w:t>
      </w:r>
      <w:proofErr w:type="spellStart"/>
      <w:r w:rsidRPr="00B94D43">
        <w:rPr>
          <w:rFonts w:ascii="Arial" w:hAnsi="Arial" w:cs="Arial"/>
          <w:i/>
          <w:iCs/>
          <w:sz w:val="14"/>
          <w:szCs w:val="14"/>
        </w:rPr>
        <w:t>Kalasin</w:t>
      </w:r>
      <w:proofErr w:type="spellEnd"/>
      <w:r w:rsidRPr="00B94D43">
        <w:rPr>
          <w:rFonts w:ascii="Arial" w:hAnsi="Arial" w:cs="Arial"/>
          <w:i/>
          <w:iCs/>
          <w:sz w:val="14"/>
          <w:szCs w:val="14"/>
        </w:rPr>
        <w:t xml:space="preserve"> P</w:t>
      </w:r>
      <w:r w:rsidR="00A100B9" w:rsidRPr="00B94D43">
        <w:rPr>
          <w:rFonts w:ascii="Arial" w:hAnsi="Arial" w:cs="Arial"/>
          <w:i/>
          <w:iCs/>
          <w:sz w:val="14"/>
          <w:szCs w:val="14"/>
        </w:rPr>
        <w:t xml:space="preserve">rovincial Public Health Office, </w:t>
      </w:r>
      <w:r w:rsidRPr="00B94D43">
        <w:rPr>
          <w:rFonts w:ascii="Arial" w:hAnsi="Arial" w:cs="Arial"/>
          <w:i/>
          <w:iCs/>
          <w:sz w:val="14"/>
          <w:szCs w:val="14"/>
        </w:rPr>
        <w:t>Thailand.</w:t>
      </w:r>
      <w:r w:rsidRPr="00B94D43">
        <w:rPr>
          <w:rFonts w:ascii="Arial" w:hAnsi="Arial" w:cs="Arial"/>
          <w:i/>
          <w:iCs/>
          <w:sz w:val="14"/>
          <w:szCs w:val="14"/>
          <w:vertAlign w:val="superscript"/>
        </w:rPr>
        <w:t>3</w:t>
      </w:r>
      <w:r w:rsidRPr="00B94D43">
        <w:rPr>
          <w:rFonts w:ascii="Arial" w:hAnsi="Arial" w:cs="Arial"/>
          <w:i/>
          <w:iCs/>
          <w:sz w:val="14"/>
          <w:szCs w:val="14"/>
        </w:rPr>
        <w:t xml:space="preserve">Department of Public Health Administration, Health Promotion and Nutrition, Faculty of Public Health, </w:t>
      </w:r>
      <w:proofErr w:type="spellStart"/>
      <w:r w:rsidRPr="00B94D43">
        <w:rPr>
          <w:rFonts w:ascii="Arial" w:hAnsi="Arial" w:cs="Arial"/>
          <w:i/>
          <w:iCs/>
          <w:sz w:val="14"/>
          <w:szCs w:val="14"/>
        </w:rPr>
        <w:t>Khon</w:t>
      </w:r>
      <w:proofErr w:type="spellEnd"/>
      <w:r w:rsidR="00A100B9" w:rsidRPr="00B94D43">
        <w:rPr>
          <w:rFonts w:ascii="Arial" w:hAnsi="Arial" w:cs="Arial"/>
          <w:i/>
          <w:iCs/>
          <w:sz w:val="14"/>
          <w:szCs w:val="14"/>
        </w:rPr>
        <w:t xml:space="preserve"> </w:t>
      </w:r>
      <w:proofErr w:type="spellStart"/>
      <w:r w:rsidRPr="00B94D43">
        <w:rPr>
          <w:rFonts w:ascii="Arial" w:hAnsi="Arial" w:cs="Arial"/>
          <w:i/>
          <w:iCs/>
          <w:sz w:val="14"/>
          <w:szCs w:val="14"/>
        </w:rPr>
        <w:t>Kaen</w:t>
      </w:r>
      <w:proofErr w:type="spellEnd"/>
      <w:r w:rsidRPr="00B94D43">
        <w:rPr>
          <w:rFonts w:ascii="Arial" w:hAnsi="Arial" w:cs="Arial"/>
          <w:i/>
          <w:iCs/>
          <w:sz w:val="14"/>
          <w:szCs w:val="14"/>
        </w:rPr>
        <w:t xml:space="preserve"> University, Thailand.</w:t>
      </w:r>
      <w:r w:rsidRPr="00B94D43">
        <w:rPr>
          <w:rFonts w:ascii="Arial" w:hAnsi="Arial" w:cs="Arial"/>
          <w:i/>
          <w:iCs/>
          <w:sz w:val="14"/>
          <w:szCs w:val="14"/>
          <w:vertAlign w:val="superscript"/>
        </w:rPr>
        <w:t>4</w:t>
      </w:r>
      <w:r w:rsidRPr="00B94D43">
        <w:rPr>
          <w:rFonts w:ascii="Arial" w:hAnsi="Arial" w:cs="Arial"/>
          <w:i/>
          <w:iCs/>
          <w:sz w:val="14"/>
          <w:szCs w:val="14"/>
        </w:rPr>
        <w:t xml:space="preserve">Department of Preventive Dentistry, Faculty of Dentistry, </w:t>
      </w:r>
      <w:proofErr w:type="spellStart"/>
      <w:r w:rsidRPr="00B94D43">
        <w:rPr>
          <w:rFonts w:ascii="Arial" w:hAnsi="Arial" w:cs="Arial"/>
          <w:i/>
          <w:iCs/>
          <w:sz w:val="14"/>
          <w:szCs w:val="14"/>
        </w:rPr>
        <w:t>Khon</w:t>
      </w:r>
      <w:proofErr w:type="spellEnd"/>
      <w:r w:rsidR="00A100B9" w:rsidRPr="00B94D43">
        <w:rPr>
          <w:rFonts w:ascii="Arial" w:hAnsi="Arial" w:cs="Arial"/>
          <w:i/>
          <w:iCs/>
          <w:sz w:val="14"/>
          <w:szCs w:val="14"/>
        </w:rPr>
        <w:t xml:space="preserve"> </w:t>
      </w:r>
      <w:proofErr w:type="spellStart"/>
      <w:r w:rsidRPr="00B94D43">
        <w:rPr>
          <w:rFonts w:ascii="Arial" w:hAnsi="Arial" w:cs="Arial"/>
          <w:i/>
          <w:iCs/>
          <w:sz w:val="14"/>
          <w:szCs w:val="14"/>
        </w:rPr>
        <w:t>Kaen</w:t>
      </w:r>
      <w:proofErr w:type="spellEnd"/>
      <w:r w:rsidRPr="00B94D43">
        <w:rPr>
          <w:rFonts w:ascii="Arial" w:hAnsi="Arial" w:cs="Arial"/>
          <w:i/>
          <w:iCs/>
          <w:sz w:val="14"/>
          <w:szCs w:val="14"/>
        </w:rPr>
        <w:t xml:space="preserve"> University, Thailand. </w:t>
      </w:r>
      <w:r w:rsidRPr="00B94D43">
        <w:rPr>
          <w:rFonts w:ascii="Arial" w:hAnsi="Arial" w:cs="Arial"/>
          <w:i/>
          <w:iCs/>
          <w:sz w:val="14"/>
          <w:szCs w:val="14"/>
          <w:vertAlign w:val="superscript"/>
        </w:rPr>
        <w:t xml:space="preserve"> </w:t>
      </w:r>
      <w:proofErr w:type="gramStart"/>
      <w:r w:rsidRPr="00B94D43">
        <w:rPr>
          <w:rFonts w:ascii="Arial" w:hAnsi="Arial" w:cs="Arial"/>
          <w:i/>
          <w:iCs/>
          <w:sz w:val="14"/>
          <w:szCs w:val="14"/>
          <w:vertAlign w:val="superscript"/>
        </w:rPr>
        <w:t>5</w:t>
      </w:r>
      <w:r w:rsidRPr="00B94D43">
        <w:rPr>
          <w:rFonts w:ascii="Arial" w:hAnsi="Arial" w:cs="Arial"/>
          <w:i/>
          <w:iCs/>
          <w:sz w:val="14"/>
          <w:szCs w:val="14"/>
        </w:rPr>
        <w:t xml:space="preserve">Research Group Grant of Preventing and Controlling in Diabetes Mellitus in the Northeast Region, </w:t>
      </w:r>
      <w:proofErr w:type="spellStart"/>
      <w:r w:rsidRPr="00B94D43">
        <w:rPr>
          <w:rFonts w:ascii="Arial" w:hAnsi="Arial" w:cs="Arial"/>
          <w:i/>
          <w:iCs/>
          <w:sz w:val="14"/>
          <w:szCs w:val="14"/>
        </w:rPr>
        <w:t>Khon</w:t>
      </w:r>
      <w:proofErr w:type="spellEnd"/>
      <w:r w:rsidR="00A100B9" w:rsidRPr="00B94D43">
        <w:rPr>
          <w:rFonts w:ascii="Arial" w:hAnsi="Arial" w:cs="Arial"/>
          <w:i/>
          <w:iCs/>
          <w:sz w:val="14"/>
          <w:szCs w:val="14"/>
        </w:rPr>
        <w:t xml:space="preserve"> </w:t>
      </w:r>
      <w:proofErr w:type="spellStart"/>
      <w:r w:rsidRPr="00B94D43">
        <w:rPr>
          <w:rFonts w:ascii="Arial" w:hAnsi="Arial" w:cs="Arial"/>
          <w:i/>
          <w:iCs/>
          <w:sz w:val="14"/>
          <w:szCs w:val="14"/>
        </w:rPr>
        <w:t>Kaen</w:t>
      </w:r>
      <w:proofErr w:type="spellEnd"/>
      <w:r w:rsidRPr="00B94D43">
        <w:rPr>
          <w:rFonts w:ascii="Arial" w:hAnsi="Arial" w:cs="Arial"/>
          <w:i/>
          <w:iCs/>
          <w:sz w:val="14"/>
          <w:szCs w:val="14"/>
        </w:rPr>
        <w:t xml:space="preserve"> University, Thailand.</w:t>
      </w:r>
      <w:proofErr w:type="gramEnd"/>
      <w:r w:rsidRPr="00B94D43">
        <w:rPr>
          <w:rFonts w:ascii="Arial" w:hAnsi="Arial" w:cs="Arial"/>
          <w:i/>
          <w:iCs/>
          <w:sz w:val="14"/>
          <w:szCs w:val="14"/>
        </w:rPr>
        <w:t xml:space="preserve"> </w:t>
      </w:r>
    </w:p>
    <w:p w:rsidR="00C50D54" w:rsidRDefault="00C50D54" w:rsidP="00C50D54">
      <w:pPr>
        <w:pStyle w:val="a4"/>
        <w:spacing w:line="360" w:lineRule="auto"/>
        <w:jc w:val="center"/>
        <w:rPr>
          <w:rFonts w:ascii="Times New Roman" w:hAnsi="Times New Roman" w:cs="Times New Roman"/>
          <w:b/>
          <w:bCs/>
          <w:sz w:val="20"/>
          <w:szCs w:val="20"/>
        </w:rPr>
      </w:pPr>
    </w:p>
    <w:p w:rsidR="00C50D54" w:rsidRPr="00B94D43" w:rsidRDefault="00C50D54" w:rsidP="00C50D54">
      <w:pPr>
        <w:pStyle w:val="a4"/>
        <w:spacing w:line="360" w:lineRule="auto"/>
        <w:jc w:val="center"/>
        <w:rPr>
          <w:rFonts w:ascii="Arial" w:hAnsi="Arial" w:cs="Arial"/>
          <w:b/>
          <w:bCs/>
          <w:sz w:val="24"/>
          <w:szCs w:val="24"/>
        </w:rPr>
      </w:pPr>
      <w:r w:rsidRPr="00B94D43">
        <w:rPr>
          <w:rFonts w:ascii="Arial" w:hAnsi="Arial" w:cs="Arial"/>
          <w:b/>
          <w:bCs/>
          <w:sz w:val="24"/>
          <w:szCs w:val="24"/>
        </w:rPr>
        <w:t>ABSTRACT</w:t>
      </w:r>
    </w:p>
    <w:p w:rsidR="00C50D54" w:rsidRPr="00B94D43" w:rsidRDefault="00C50D54" w:rsidP="00C50D54">
      <w:pPr>
        <w:shd w:val="clear" w:color="auto" w:fill="FFFFFF"/>
        <w:spacing w:after="0" w:line="360" w:lineRule="auto"/>
        <w:rPr>
          <w:rFonts w:ascii="Arial" w:eastAsia="Times New Roman" w:hAnsi="Arial" w:cs="Arial"/>
          <w:color w:val="000000"/>
          <w:szCs w:val="22"/>
        </w:rPr>
      </w:pPr>
      <w:r w:rsidRPr="00B94D43">
        <w:rPr>
          <w:rFonts w:ascii="Arial" w:eastAsia="Times New Roman" w:hAnsi="Arial" w:cs="Arial"/>
          <w:b/>
          <w:bCs/>
          <w:color w:val="000000"/>
          <w:szCs w:val="22"/>
        </w:rPr>
        <w:t>Background</w:t>
      </w:r>
      <w:r w:rsidRPr="00B94D43">
        <w:rPr>
          <w:rFonts w:ascii="Arial" w:eastAsia="Times New Roman" w:hAnsi="Arial" w:cs="Arial"/>
          <w:color w:val="000000"/>
          <w:szCs w:val="22"/>
        </w:rPr>
        <w:t xml:space="preserve">: Oral health is the sixth complication in diabetic patients. It is a high prevalence and has multiple negative impacts on their health. Low oral health literacy is associated with worse health and less understanding of prevention, maintenance, and self-care instruction and advice. </w:t>
      </w:r>
    </w:p>
    <w:p w:rsidR="00C50D54" w:rsidRPr="00B94D43" w:rsidRDefault="00B94D43" w:rsidP="00C50D54">
      <w:pPr>
        <w:shd w:val="clear" w:color="auto" w:fill="FFFFFF"/>
        <w:spacing w:after="0" w:line="360" w:lineRule="auto"/>
        <w:rPr>
          <w:rFonts w:ascii="Arial" w:eastAsia="Times New Roman" w:hAnsi="Arial" w:cs="Arial"/>
          <w:color w:val="000000"/>
          <w:szCs w:val="22"/>
        </w:rPr>
      </w:pPr>
      <w:r w:rsidRPr="00B94D43">
        <w:rPr>
          <w:rFonts w:ascii="Arial" w:eastAsia="Times New Roman" w:hAnsi="Arial" w:cs="Arial"/>
          <w:b/>
          <w:bCs/>
          <w:color w:val="000000"/>
          <w:szCs w:val="22"/>
        </w:rPr>
        <w:t>Aims</w:t>
      </w:r>
      <w:r w:rsidR="00C50D54" w:rsidRPr="00B94D43">
        <w:rPr>
          <w:rFonts w:ascii="Arial" w:eastAsia="Times New Roman" w:hAnsi="Arial" w:cs="Arial"/>
          <w:b/>
          <w:bCs/>
          <w:color w:val="000000"/>
          <w:szCs w:val="22"/>
        </w:rPr>
        <w:t>:</w:t>
      </w:r>
      <w:r w:rsidR="00C50D54" w:rsidRPr="00B94D43">
        <w:rPr>
          <w:rFonts w:ascii="Arial" w:eastAsia="Times New Roman" w:hAnsi="Arial" w:cs="Arial"/>
          <w:color w:val="000000"/>
          <w:szCs w:val="22"/>
        </w:rPr>
        <w:t xml:space="preserve"> To examine the effects of an oral health literacy program on promoting oral health behaviors and oral health status among adults with type 2 diabetes mellitus in </w:t>
      </w:r>
      <w:proofErr w:type="spellStart"/>
      <w:r w:rsidR="00C50D54" w:rsidRPr="00B94D43">
        <w:rPr>
          <w:rFonts w:ascii="Arial" w:eastAsia="Times New Roman" w:hAnsi="Arial" w:cs="Arial"/>
          <w:color w:val="000000"/>
          <w:szCs w:val="22"/>
        </w:rPr>
        <w:t>Thakhuntho</w:t>
      </w:r>
      <w:proofErr w:type="spellEnd"/>
      <w:r w:rsidR="00C50D54" w:rsidRPr="00B94D43">
        <w:rPr>
          <w:rFonts w:ascii="Arial" w:eastAsia="Times New Roman" w:hAnsi="Arial" w:cs="Arial"/>
          <w:color w:val="000000"/>
          <w:szCs w:val="22"/>
        </w:rPr>
        <w:t xml:space="preserve"> district, </w:t>
      </w:r>
      <w:proofErr w:type="spellStart"/>
      <w:r w:rsidR="00C50D54" w:rsidRPr="00B94D43">
        <w:rPr>
          <w:rFonts w:ascii="Arial" w:eastAsia="Times New Roman" w:hAnsi="Arial" w:cs="Arial"/>
          <w:color w:val="000000"/>
          <w:szCs w:val="22"/>
        </w:rPr>
        <w:t>Kalasin</w:t>
      </w:r>
      <w:proofErr w:type="spellEnd"/>
      <w:r w:rsidR="00C50D54" w:rsidRPr="00B94D43">
        <w:rPr>
          <w:rFonts w:ascii="Arial" w:eastAsia="Times New Roman" w:hAnsi="Arial" w:cs="Arial"/>
          <w:color w:val="000000"/>
          <w:szCs w:val="22"/>
        </w:rPr>
        <w:t>, Thailand.</w:t>
      </w:r>
    </w:p>
    <w:p w:rsidR="00C50D54" w:rsidRPr="00B94D43" w:rsidRDefault="00C50D54" w:rsidP="00C50D54">
      <w:pPr>
        <w:shd w:val="clear" w:color="auto" w:fill="FFFFFF"/>
        <w:spacing w:after="0" w:line="360" w:lineRule="auto"/>
        <w:rPr>
          <w:rFonts w:ascii="Arial" w:eastAsia="Times New Roman" w:hAnsi="Arial" w:cs="Arial"/>
          <w:color w:val="000000"/>
          <w:szCs w:val="22"/>
        </w:rPr>
      </w:pPr>
      <w:r w:rsidRPr="00B94D43">
        <w:rPr>
          <w:rFonts w:ascii="Arial" w:eastAsia="Times New Roman" w:hAnsi="Arial" w:cs="Arial"/>
          <w:b/>
          <w:bCs/>
          <w:color w:val="000000"/>
          <w:szCs w:val="22"/>
        </w:rPr>
        <w:t>Methods</w:t>
      </w:r>
      <w:r w:rsidRPr="00B94D43">
        <w:rPr>
          <w:rFonts w:ascii="Arial" w:eastAsia="Times New Roman" w:hAnsi="Arial" w:cs="Arial"/>
          <w:color w:val="000000"/>
          <w:szCs w:val="22"/>
        </w:rPr>
        <w:t>: The quasi-experimental study was using a pretest-posttest design on 80 diabetic patients (40 in the experimental group and 40 in the comparison group). The implementation consisted of different activities, which include a lecture about diabetic and oral health, group discussion, and walk rally. Four instruments were used in this study, including demographic data, functional oral health literacy skill (Thai REALD-30), oral health behaviors as well as a plaque index and a gingivitis index measurement. Data were analyzed using frequencies, percentage, mean, and standard deviation. The differential data analysis between groups was independent t-test with a statistically significant level of 0.05.</w:t>
      </w:r>
    </w:p>
    <w:p w:rsidR="00C50D54" w:rsidRPr="00B94D43" w:rsidRDefault="00C50D54" w:rsidP="00C50D54">
      <w:pPr>
        <w:spacing w:after="0" w:line="360" w:lineRule="auto"/>
        <w:jc w:val="both"/>
        <w:rPr>
          <w:rFonts w:ascii="Arial" w:eastAsia="Times New Roman" w:hAnsi="Arial" w:cs="Arial"/>
          <w:b/>
          <w:bCs/>
          <w:color w:val="000000"/>
          <w:szCs w:val="22"/>
        </w:rPr>
      </w:pPr>
      <w:r w:rsidRPr="00B94D43">
        <w:rPr>
          <w:rFonts w:ascii="Arial" w:eastAsia="Times New Roman" w:hAnsi="Arial" w:cs="Arial"/>
          <w:b/>
          <w:bCs/>
          <w:color w:val="000000"/>
          <w:szCs w:val="22"/>
        </w:rPr>
        <w:t>Results</w:t>
      </w:r>
      <w:r w:rsidRPr="00B94D43">
        <w:rPr>
          <w:rFonts w:ascii="Arial" w:eastAsia="Times New Roman" w:hAnsi="Arial" w:cs="Arial"/>
          <w:color w:val="000000"/>
          <w:szCs w:val="22"/>
        </w:rPr>
        <w:t>: After participating in the oral health literacy program, the mean scores of oral health behaviors, plaque levels, and gingivitis levels in the experimental group were significantly higher than the comparison group (p-value&lt;0.001). However, the functional oral health literac</w:t>
      </w:r>
      <w:r w:rsidR="00AE6280" w:rsidRPr="00B94D43">
        <w:rPr>
          <w:rFonts w:ascii="Arial" w:eastAsia="Times New Roman" w:hAnsi="Arial" w:cs="Arial"/>
          <w:color w:val="000000"/>
          <w:szCs w:val="22"/>
        </w:rPr>
        <w:t>y skill using Thai REALD-30 was</w:t>
      </w:r>
      <w:r w:rsidRPr="00B94D43">
        <w:rPr>
          <w:rFonts w:ascii="Arial" w:eastAsia="Times New Roman" w:hAnsi="Arial" w:cs="Arial"/>
          <w:color w:val="000000"/>
          <w:szCs w:val="22"/>
        </w:rPr>
        <w:t xml:space="preserve"> not statistically significant after participant in the program.</w:t>
      </w:r>
    </w:p>
    <w:p w:rsidR="00C50D54" w:rsidRPr="00B94D43" w:rsidRDefault="00C50D54" w:rsidP="00C50D54">
      <w:pPr>
        <w:spacing w:after="0" w:line="360" w:lineRule="auto"/>
        <w:jc w:val="both"/>
        <w:rPr>
          <w:rFonts w:ascii="Arial" w:eastAsia="Times New Roman" w:hAnsi="Arial" w:cs="Arial"/>
          <w:color w:val="000000"/>
          <w:szCs w:val="22"/>
        </w:rPr>
      </w:pPr>
      <w:r w:rsidRPr="00B94D43">
        <w:rPr>
          <w:rFonts w:ascii="Arial" w:eastAsia="Times New Roman" w:hAnsi="Arial" w:cs="Arial"/>
          <w:b/>
          <w:bCs/>
          <w:color w:val="000000"/>
          <w:szCs w:val="22"/>
        </w:rPr>
        <w:t>Conclusions</w:t>
      </w:r>
      <w:r w:rsidRPr="00B94D43">
        <w:rPr>
          <w:rFonts w:ascii="Arial" w:eastAsia="Times New Roman" w:hAnsi="Arial" w:cs="Arial"/>
          <w:color w:val="000000"/>
          <w:szCs w:val="22"/>
        </w:rPr>
        <w:t xml:space="preserve">: This study is important to improve the functional oral health literacy and oral health behaviors on their oral health in type 2 diabetic patients. </w:t>
      </w:r>
      <w:proofErr w:type="gramStart"/>
      <w:r w:rsidRPr="00B94D43">
        <w:rPr>
          <w:rFonts w:ascii="Arial" w:eastAsia="Times New Roman" w:hAnsi="Arial" w:cs="Arial"/>
          <w:color w:val="000000"/>
          <w:szCs w:val="22"/>
        </w:rPr>
        <w:t>Therefore, the development program of oral health literacy that can help to understand community context, lifestyles diabetes patients, and health care service in the setting area.</w:t>
      </w:r>
      <w:proofErr w:type="gramEnd"/>
    </w:p>
    <w:p w:rsidR="00C50D54" w:rsidRPr="00B94D43" w:rsidRDefault="00C50D54" w:rsidP="00C50D54">
      <w:pPr>
        <w:shd w:val="clear" w:color="auto" w:fill="FFFFFF"/>
        <w:spacing w:after="0" w:line="360" w:lineRule="auto"/>
        <w:rPr>
          <w:rFonts w:ascii="Arial" w:eastAsia="Times New Roman" w:hAnsi="Arial" w:cs="Arial"/>
          <w:i/>
          <w:iCs/>
          <w:color w:val="000000"/>
          <w:sz w:val="20"/>
          <w:szCs w:val="20"/>
        </w:rPr>
      </w:pPr>
      <w:r w:rsidRPr="00B94D43">
        <w:rPr>
          <w:rFonts w:ascii="Arial" w:eastAsia="Times New Roman" w:hAnsi="Arial" w:cs="Arial"/>
          <w:b/>
          <w:bCs/>
          <w:color w:val="000000"/>
          <w:sz w:val="20"/>
          <w:szCs w:val="20"/>
        </w:rPr>
        <w:t>Keywords:</w:t>
      </w:r>
      <w:r w:rsidRPr="00B94D43">
        <w:rPr>
          <w:rFonts w:ascii="Times New Roman" w:eastAsia="Times New Roman" w:hAnsi="Times New Roman" w:cs="Times New Roman"/>
          <w:b/>
          <w:bCs/>
          <w:color w:val="000000"/>
          <w:sz w:val="20"/>
          <w:szCs w:val="20"/>
        </w:rPr>
        <w:t> </w:t>
      </w:r>
      <w:r w:rsidRPr="00B94D43">
        <w:rPr>
          <w:rFonts w:ascii="Arial" w:eastAsia="Times New Roman" w:hAnsi="Arial" w:cs="Arial"/>
          <w:i/>
          <w:iCs/>
          <w:color w:val="000000"/>
          <w:sz w:val="20"/>
          <w:szCs w:val="20"/>
        </w:rPr>
        <w:t>Oral health behaviors, Oral health literacy, Oral health status, Type 2 Diabetes Mellitus.</w:t>
      </w:r>
    </w:p>
    <w:p w:rsidR="006C611D" w:rsidRDefault="006C611D"/>
    <w:sectPr w:rsidR="006C611D" w:rsidSect="005F489C">
      <w:pgSz w:w="11906" w:h="16838" w:code="9"/>
      <w:pgMar w:top="1440"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AFF" w:usb1="C0007841"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displayVerticalDrawingGridEvery w:val="2"/>
  <w:characterSpacingControl w:val="doNotCompress"/>
  <w:compat>
    <w:applyBreakingRules/>
  </w:compat>
  <w:rsids>
    <w:rsidRoot w:val="00C50D54"/>
    <w:rsid w:val="00097834"/>
    <w:rsid w:val="002219E2"/>
    <w:rsid w:val="003801FC"/>
    <w:rsid w:val="005F489C"/>
    <w:rsid w:val="006C611D"/>
    <w:rsid w:val="00A100B9"/>
    <w:rsid w:val="00AE6280"/>
    <w:rsid w:val="00B94D43"/>
    <w:rsid w:val="00C159FF"/>
    <w:rsid w:val="00C50D54"/>
    <w:rsid w:val="00FC0075"/>
  </w:rsids>
  <m:mathPr>
    <m:mathFont m:val="Cambria Math"/>
    <m:brkBin m:val="before"/>
    <m:brkBinSub m:val="--"/>
    <m:smallFrac m:val="off"/>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0D5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ไม่มีการเว้นระยะห่าง อักขระ"/>
    <w:link w:val="a4"/>
    <w:uiPriority w:val="1"/>
    <w:locked/>
    <w:rsid w:val="00C50D54"/>
    <w:rPr>
      <w:rFonts w:ascii="Calibri" w:eastAsia="Calibri" w:hAnsi="Calibri" w:cs="Angsana New"/>
    </w:rPr>
  </w:style>
  <w:style w:type="paragraph" w:styleId="a4">
    <w:name w:val="No Spacing"/>
    <w:basedOn w:val="a"/>
    <w:link w:val="a3"/>
    <w:uiPriority w:val="1"/>
    <w:qFormat/>
    <w:rsid w:val="00C50D54"/>
    <w:pPr>
      <w:spacing w:after="0" w:line="240" w:lineRule="auto"/>
    </w:pPr>
    <w:rPr>
      <w:rFonts w:ascii="Calibri" w:eastAsia="Calibri" w:hAnsi="Calibri" w:cs="Angsana New"/>
    </w:rPr>
  </w:style>
</w:styles>
</file>

<file path=word/webSettings.xml><?xml version="1.0" encoding="utf-8"?>
<w:webSettings xmlns:r="http://schemas.openxmlformats.org/officeDocument/2006/relationships" xmlns:w="http://schemas.openxmlformats.org/wordprocessingml/2006/main">
  <w:divs>
    <w:div w:id="79763998">
      <w:bodyDiv w:val="1"/>
      <w:marLeft w:val="0"/>
      <w:marRight w:val="0"/>
      <w:marTop w:val="0"/>
      <w:marBottom w:val="0"/>
      <w:divBdr>
        <w:top w:val="none" w:sz="0" w:space="0" w:color="auto"/>
        <w:left w:val="none" w:sz="0" w:space="0" w:color="auto"/>
        <w:bottom w:val="none" w:sz="0" w:space="0" w:color="auto"/>
        <w:right w:val="none" w:sz="0" w:space="0" w:color="auto"/>
      </w:divBdr>
    </w:div>
    <w:div w:id="1496218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024182-2594-4B0F-A3A8-11525EF6D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Pages>
  <Words>429</Words>
  <Characters>2451</Characters>
  <Application>Microsoft Office Word</Application>
  <DocSecurity>0</DocSecurity>
  <Lines>20</Lines>
  <Paragraphs>5</Paragraphs>
  <ScaleCrop>false</ScaleCrop>
  <HeadingPairs>
    <vt:vector size="2" baseType="variant">
      <vt:variant>
        <vt:lpstr>ชื่อเรื่อง</vt:lpstr>
      </vt:variant>
      <vt:variant>
        <vt:i4>1</vt:i4>
      </vt:variant>
    </vt:vector>
  </HeadingPairs>
  <TitlesOfParts>
    <vt:vector size="1" baseType="lpstr">
      <vt:lpstr/>
    </vt:vector>
  </TitlesOfParts>
  <Company/>
  <LinksUpToDate>false</LinksUpToDate>
  <CharactersWithSpaces>2875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KKD Windows 7 V.3</dc:creator>
  <cp:lastModifiedBy>KKD Windows 7 V.3</cp:lastModifiedBy>
  <cp:revision>6</cp:revision>
  <dcterms:created xsi:type="dcterms:W3CDTF">2019-07-13T05:49:00Z</dcterms:created>
  <dcterms:modified xsi:type="dcterms:W3CDTF">2019-07-13T06:42:00Z</dcterms:modified>
</cp:coreProperties>
</file>